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F8" w:rsidRPr="007B0AF8" w:rsidRDefault="007B0AF8" w:rsidP="007B0AF8">
      <w:pPr>
        <w:keepNext/>
        <w:spacing w:after="0" w:line="240" w:lineRule="auto"/>
        <w:outlineLvl w:val="0"/>
        <w:rPr>
          <w:rFonts w:ascii="Times New Roman" w:eastAsia="Times New Roman" w:hAnsi="Times New Roman" w:cs="Times New Roman"/>
          <w:b/>
          <w:bCs/>
          <w:color w:val="0000FF"/>
          <w:sz w:val="20"/>
          <w:szCs w:val="24"/>
          <w:highlight w:val="yellow"/>
          <w:lang w:eastAsia="pt-BR"/>
        </w:rPr>
      </w:pPr>
      <w:bookmarkStart w:id="0" w:name="_Toc413162894"/>
      <w:r w:rsidRPr="007B0AF8">
        <w:rPr>
          <w:rFonts w:ascii="Times New Roman" w:eastAsia="Times New Roman" w:hAnsi="Times New Roman" w:cs="Times New Roman"/>
          <w:b/>
          <w:bCs/>
          <w:color w:val="0000FF"/>
          <w:sz w:val="20"/>
          <w:szCs w:val="24"/>
          <w:highlight w:val="yellow"/>
          <w:lang w:eastAsia="pt-BR"/>
        </w:rPr>
        <w:t>Seção 3.1.6.3.2. Registro J005: Demonstrações Contábeis</w:t>
      </w:r>
      <w:bookmarkEnd w:id="0"/>
    </w:p>
    <w:p w:rsidR="007B0AF8" w:rsidRPr="007B0AF8" w:rsidRDefault="007B0AF8" w:rsidP="007B0AF8">
      <w:pPr>
        <w:shd w:val="clear" w:color="auto" w:fill="FFFFFF"/>
        <w:suppressAutoHyphens/>
        <w:spacing w:after="0" w:line="240" w:lineRule="auto"/>
        <w:jc w:val="both"/>
        <w:rPr>
          <w:rFonts w:ascii="Times New Roman" w:eastAsia="Arial Unicode MS" w:hAnsi="Times New Roman" w:cs="Times New Roman"/>
          <w:b/>
          <w:bCs/>
          <w:sz w:val="20"/>
          <w:szCs w:val="20"/>
          <w:highlight w:val="yellow"/>
          <w:lang w:eastAsia="ar-SA"/>
        </w:rPr>
      </w:pPr>
    </w:p>
    <w:p w:rsidR="007B0AF8" w:rsidRPr="007B0AF8" w:rsidRDefault="007B0AF8" w:rsidP="007B0AF8">
      <w:pPr>
        <w:shd w:val="clear" w:color="auto" w:fill="FFFFFF"/>
        <w:suppressAutoHyphens/>
        <w:spacing w:after="0" w:line="240" w:lineRule="auto"/>
        <w:ind w:firstLine="708"/>
        <w:jc w:val="both"/>
        <w:rPr>
          <w:rFonts w:ascii="Times New Roman" w:eastAsia="Arial Unicode MS" w:hAnsi="Times New Roman" w:cs="Times New Roman"/>
          <w:sz w:val="20"/>
          <w:szCs w:val="20"/>
          <w:highlight w:val="yellow"/>
          <w:lang w:eastAsia="ar-SA"/>
        </w:rPr>
      </w:pPr>
      <w:r w:rsidRPr="007B0AF8">
        <w:rPr>
          <w:rFonts w:ascii="Times New Roman" w:eastAsia="Arial Unicode MS" w:hAnsi="Times New Roman" w:cs="Times New Roman"/>
          <w:sz w:val="20"/>
          <w:szCs w:val="20"/>
          <w:highlight w:val="yellow"/>
          <w:lang w:eastAsia="ar-SA"/>
        </w:rPr>
        <w:t xml:space="preserve">Segundo o Código Civil, o Balanço e a Demonstração do Resultado Econômico devem elaborados no encerramento do exercício social e ser transcritos no Diário. Outras normas estabelecem prazos diferentes. O Banco Central, por exemplo, estabelece que as demonstrações são semestrais. </w:t>
      </w:r>
    </w:p>
    <w:p w:rsidR="007B0AF8" w:rsidRPr="007B0AF8" w:rsidRDefault="007B0AF8" w:rsidP="007B0AF8">
      <w:pPr>
        <w:shd w:val="clear" w:color="auto" w:fill="FFFFFF"/>
        <w:suppressAutoHyphens/>
        <w:spacing w:after="0" w:line="240" w:lineRule="auto"/>
        <w:ind w:firstLine="708"/>
        <w:jc w:val="both"/>
        <w:rPr>
          <w:rFonts w:ascii="Times New Roman" w:eastAsia="Arial Unicode MS" w:hAnsi="Times New Roman" w:cs="Times New Roman"/>
          <w:sz w:val="20"/>
          <w:szCs w:val="20"/>
          <w:highlight w:val="yellow"/>
          <w:lang w:eastAsia="ar-SA"/>
        </w:rPr>
      </w:pPr>
    </w:p>
    <w:p w:rsidR="007B0AF8" w:rsidRPr="007B0AF8" w:rsidRDefault="007B0AF8" w:rsidP="007B0AF8">
      <w:pPr>
        <w:shd w:val="clear" w:color="auto" w:fill="FFFFFF"/>
        <w:suppressAutoHyphens/>
        <w:spacing w:after="0" w:line="240" w:lineRule="auto"/>
        <w:ind w:firstLine="708"/>
        <w:jc w:val="both"/>
        <w:rPr>
          <w:rFonts w:ascii="Times New Roman" w:eastAsia="Arial Unicode MS" w:hAnsi="Times New Roman" w:cs="Times New Roman"/>
          <w:sz w:val="20"/>
          <w:szCs w:val="20"/>
          <w:highlight w:val="yellow"/>
          <w:lang w:eastAsia="ar-SA"/>
        </w:rPr>
      </w:pPr>
      <w:r w:rsidRPr="007B0AF8">
        <w:rPr>
          <w:rFonts w:ascii="Times New Roman" w:eastAsia="Arial Unicode MS" w:hAnsi="Times New Roman" w:cs="Times New Roman"/>
          <w:sz w:val="20"/>
          <w:szCs w:val="20"/>
          <w:highlight w:val="yellow"/>
          <w:lang w:eastAsia="ar-SA"/>
        </w:rPr>
        <w:t xml:space="preserve">Como a escrituração contábil digital pode ser mensal, pode ocorrer de a empresa não ter elaborado as demonstrações naquele mês.  Além disso, o PVA do </w:t>
      </w:r>
      <w:proofErr w:type="spellStart"/>
      <w:r w:rsidRPr="007B0AF8">
        <w:rPr>
          <w:rFonts w:ascii="Times New Roman" w:eastAsia="Arial Unicode MS" w:hAnsi="Times New Roman" w:cs="Times New Roman"/>
          <w:sz w:val="20"/>
          <w:szCs w:val="20"/>
          <w:highlight w:val="yellow"/>
          <w:lang w:eastAsia="ar-SA"/>
        </w:rPr>
        <w:t>Sped</w:t>
      </w:r>
      <w:proofErr w:type="spellEnd"/>
      <w:r w:rsidRPr="007B0AF8">
        <w:rPr>
          <w:rFonts w:ascii="Times New Roman" w:eastAsia="Arial Unicode MS" w:hAnsi="Times New Roman" w:cs="Times New Roman"/>
          <w:sz w:val="20"/>
          <w:szCs w:val="20"/>
          <w:highlight w:val="yellow"/>
          <w:lang w:eastAsia="ar-SA"/>
        </w:rPr>
        <w:t xml:space="preserve"> Contábil não tem como saber a data do encerramento de exercício social. Estes aspectos impossibilitam estabelecer, no PVA do </w:t>
      </w:r>
      <w:proofErr w:type="spellStart"/>
      <w:r w:rsidRPr="007B0AF8">
        <w:rPr>
          <w:rFonts w:ascii="Times New Roman" w:eastAsia="Arial Unicode MS" w:hAnsi="Times New Roman" w:cs="Times New Roman"/>
          <w:sz w:val="20"/>
          <w:szCs w:val="20"/>
          <w:highlight w:val="yellow"/>
          <w:lang w:eastAsia="ar-SA"/>
        </w:rPr>
        <w:t>Sped</w:t>
      </w:r>
      <w:proofErr w:type="spellEnd"/>
      <w:r w:rsidRPr="007B0AF8">
        <w:rPr>
          <w:rFonts w:ascii="Times New Roman" w:eastAsia="Arial Unicode MS" w:hAnsi="Times New Roman" w:cs="Times New Roman"/>
          <w:sz w:val="20"/>
          <w:szCs w:val="20"/>
          <w:highlight w:val="yellow"/>
          <w:lang w:eastAsia="ar-SA"/>
        </w:rPr>
        <w:t xml:space="preserve"> Contábil, a obrigatoriedade de tais registros. Assim, as demonstrações são obrigatórias, mas podem não estar no livro, quando ele não contenha a data a que se referem. </w:t>
      </w:r>
    </w:p>
    <w:p w:rsidR="007B0AF8" w:rsidRPr="007B0AF8" w:rsidRDefault="007B0AF8" w:rsidP="007B0AF8">
      <w:pPr>
        <w:shd w:val="clear" w:color="auto" w:fill="FFFFFF"/>
        <w:suppressAutoHyphens/>
        <w:spacing w:after="0" w:line="240" w:lineRule="auto"/>
        <w:ind w:firstLine="708"/>
        <w:jc w:val="both"/>
        <w:rPr>
          <w:rFonts w:ascii="Times New Roman" w:eastAsia="Arial Unicode MS" w:hAnsi="Times New Roman" w:cs="Times New Roman"/>
          <w:sz w:val="20"/>
          <w:szCs w:val="20"/>
          <w:highlight w:val="yellow"/>
          <w:lang w:eastAsia="ar-SA"/>
        </w:rPr>
      </w:pPr>
    </w:p>
    <w:p w:rsidR="007B0AF8" w:rsidRPr="007B0AF8" w:rsidRDefault="007B0AF8" w:rsidP="007B0AF8">
      <w:pPr>
        <w:shd w:val="clear" w:color="auto" w:fill="FFFFFF"/>
        <w:suppressAutoHyphens/>
        <w:spacing w:after="0" w:line="240" w:lineRule="auto"/>
        <w:ind w:firstLine="708"/>
        <w:jc w:val="both"/>
        <w:rPr>
          <w:rFonts w:ascii="Times New Roman" w:eastAsia="Arial Unicode MS" w:hAnsi="Times New Roman" w:cs="Times New Roman"/>
          <w:sz w:val="20"/>
          <w:szCs w:val="20"/>
          <w:highlight w:val="green"/>
          <w:lang w:eastAsia="ar-SA"/>
        </w:rPr>
      </w:pPr>
      <w:r w:rsidRPr="007B0AF8">
        <w:rPr>
          <w:rFonts w:ascii="Times New Roman" w:eastAsia="Arial Unicode MS" w:hAnsi="Times New Roman" w:cs="Times New Roman"/>
          <w:sz w:val="20"/>
          <w:szCs w:val="20"/>
          <w:highlight w:val="yellow"/>
          <w:lang w:eastAsia="ar-SA"/>
        </w:rPr>
        <w:t xml:space="preserve">A legislação do imposto de renda determina que as demonstrações devam ser elaboradas (e transcritas na escrituração) na data da ocorrência do fato gerador. Assim, se a apuração for trimestral, elas também serão trimestrais. Respeitados os limites de tamanho do arquivo, o mesmo livro pode conter várias demonstrações, desde que o período seja distinto. </w:t>
      </w:r>
      <w:r w:rsidRPr="007B0AF8">
        <w:rPr>
          <w:rFonts w:ascii="Times New Roman" w:eastAsia="Arial Unicode MS" w:hAnsi="Times New Roman" w:cs="Times New Roman"/>
          <w:sz w:val="20"/>
          <w:szCs w:val="20"/>
          <w:highlight w:val="green"/>
          <w:lang w:eastAsia="ar-SA"/>
        </w:rPr>
        <w:t xml:space="preserve">Assim, um mesmo livro pode conter 4 demonstrações trimestrais, 2 semestrais e uma anual. </w:t>
      </w:r>
    </w:p>
    <w:p w:rsidR="007B0AF8" w:rsidRPr="007B0AF8" w:rsidRDefault="007B0AF8" w:rsidP="007B0AF8">
      <w:pPr>
        <w:shd w:val="clear" w:color="auto" w:fill="FFFFFF"/>
        <w:suppressAutoHyphens/>
        <w:spacing w:after="0" w:line="240" w:lineRule="auto"/>
        <w:ind w:firstLine="708"/>
        <w:jc w:val="both"/>
        <w:rPr>
          <w:rFonts w:ascii="Times New Roman" w:eastAsia="Arial Unicode MS" w:hAnsi="Times New Roman" w:cs="Times New Roman"/>
          <w:sz w:val="20"/>
          <w:szCs w:val="20"/>
          <w:highlight w:val="yellow"/>
          <w:lang w:eastAsia="ar-SA"/>
        </w:rPr>
      </w:pPr>
    </w:p>
    <w:p w:rsidR="007B0AF8" w:rsidRPr="007B0AF8" w:rsidRDefault="007B0AF8" w:rsidP="007B0AF8">
      <w:pPr>
        <w:shd w:val="clear" w:color="auto" w:fill="FFFFFF"/>
        <w:suppressAutoHyphens/>
        <w:spacing w:after="0" w:line="240" w:lineRule="auto"/>
        <w:ind w:firstLine="708"/>
        <w:jc w:val="both"/>
        <w:rPr>
          <w:rFonts w:ascii="Times New Roman" w:eastAsia="Arial Unicode MS" w:hAnsi="Times New Roman" w:cs="Times New Roman"/>
          <w:sz w:val="20"/>
          <w:szCs w:val="20"/>
          <w:highlight w:val="yellow"/>
          <w:lang w:eastAsia="ar-SA"/>
        </w:rPr>
      </w:pPr>
      <w:r w:rsidRPr="007B0AF8">
        <w:rPr>
          <w:rFonts w:ascii="Times New Roman" w:eastAsia="Arial Unicode MS" w:hAnsi="Times New Roman" w:cs="Times New Roman"/>
          <w:sz w:val="20"/>
          <w:szCs w:val="20"/>
          <w:highlight w:val="yellow"/>
          <w:lang w:eastAsia="ar-SA"/>
        </w:rPr>
        <w:t xml:space="preserve">As demonstrações contábeis serão exibidas na mesma ordem em que as linhas foram inseridas no arquivo. </w:t>
      </w:r>
    </w:p>
    <w:p w:rsidR="007B0AF8" w:rsidRPr="007B0AF8" w:rsidRDefault="007B0AF8" w:rsidP="007B0AF8">
      <w:pPr>
        <w:shd w:val="clear" w:color="auto" w:fill="FFFFFF"/>
        <w:suppressAutoHyphens/>
        <w:spacing w:after="0" w:line="240" w:lineRule="auto"/>
        <w:ind w:firstLine="708"/>
        <w:jc w:val="both"/>
        <w:rPr>
          <w:rFonts w:ascii="Times New Roman" w:eastAsia="Arial Unicode MS" w:hAnsi="Times New Roman" w:cs="Times New Roman"/>
          <w:sz w:val="20"/>
          <w:szCs w:val="20"/>
          <w:highlight w:val="yellow"/>
          <w:lang w:eastAsia="ar-SA"/>
        </w:rPr>
      </w:pPr>
    </w:p>
    <w:p w:rsidR="007B0AF8" w:rsidRPr="007B0AF8" w:rsidRDefault="007B0AF8" w:rsidP="007B0AF8">
      <w:pPr>
        <w:ind w:firstLine="708"/>
        <w:jc w:val="both"/>
        <w:rPr>
          <w:rFonts w:cs="Times New Roman"/>
          <w:szCs w:val="20"/>
          <w:highlight w:val="yellow"/>
        </w:rPr>
      </w:pPr>
      <w:r w:rsidRPr="007B0AF8">
        <w:rPr>
          <w:rFonts w:cs="Times New Roman"/>
          <w:szCs w:val="20"/>
          <w:highlight w:val="yellow"/>
        </w:rPr>
        <w:t xml:space="preserve">Pelo registro I052 – Indicação dos Códigos de Aglutinação é feita uma correlação entre as linhas das demonstrações contábeis com as contas analíticas do Plano de Contas (registro I050). </w:t>
      </w:r>
    </w:p>
    <w:p w:rsidR="007B0AF8" w:rsidRDefault="007B0AF8" w:rsidP="007B0AF8">
      <w:pPr>
        <w:ind w:firstLine="708"/>
        <w:jc w:val="both"/>
        <w:rPr>
          <w:rFonts w:cs="Times New Roman"/>
          <w:szCs w:val="20"/>
        </w:rPr>
      </w:pPr>
      <w:r w:rsidRPr="007B0AF8">
        <w:rPr>
          <w:rFonts w:cs="Times New Roman"/>
          <w:szCs w:val="20"/>
          <w:highlight w:val="yellow"/>
        </w:rPr>
        <w:t xml:space="preserve">O PVA do </w:t>
      </w:r>
      <w:proofErr w:type="spellStart"/>
      <w:r w:rsidRPr="007B0AF8">
        <w:rPr>
          <w:rFonts w:cs="Times New Roman"/>
          <w:szCs w:val="20"/>
          <w:highlight w:val="yellow"/>
        </w:rPr>
        <w:t>Sped</w:t>
      </w:r>
      <w:proofErr w:type="spellEnd"/>
      <w:r w:rsidRPr="007B0AF8">
        <w:rPr>
          <w:rFonts w:cs="Times New Roman"/>
          <w:szCs w:val="20"/>
          <w:highlight w:val="yellow"/>
        </w:rPr>
        <w:t xml:space="preserve"> Contábil totaliza </w:t>
      </w:r>
      <w:r w:rsidRPr="007B0AF8">
        <w:rPr>
          <w:rFonts w:cs="Times New Roman"/>
          <w:szCs w:val="20"/>
          <w:highlight w:val="red"/>
        </w:rPr>
        <w:t xml:space="preserve">os registros de saldos periódicos (registro I155), </w:t>
      </w:r>
      <w:r w:rsidRPr="007B0AF8">
        <w:rPr>
          <w:rFonts w:cs="Times New Roman"/>
          <w:szCs w:val="20"/>
          <w:highlight w:val="yellow"/>
        </w:rPr>
        <w:t xml:space="preserve">na data do balanço, com base no código de aglutinação (registro I052). </w:t>
      </w:r>
      <w:bookmarkStart w:id="1" w:name="_GoBack"/>
      <w:r w:rsidRPr="007B0AF8">
        <w:rPr>
          <w:rFonts w:cs="Times New Roman"/>
          <w:szCs w:val="20"/>
          <w:highlight w:val="yellow"/>
        </w:rPr>
        <w:t xml:space="preserve">O valor assim </w:t>
      </w:r>
      <w:bookmarkEnd w:id="1"/>
      <w:r w:rsidRPr="007B0AF8">
        <w:rPr>
          <w:rFonts w:cs="Times New Roman"/>
          <w:szCs w:val="20"/>
          <w:highlight w:val="yellow"/>
        </w:rPr>
        <w:t>obtido é confrontado com as informações constantes do Balanço Patrimonial (registro J100). O mesmo procedimento é adotado para conferência dos valores lançados na Demonstração do Resultado do Exercício (registro J150). Contudo, nessa situação, os valores totalizados são obtidos dos saldos das contas de resultado antes do encerramento (registro I355). Havendo divergência, é emitido um aviso. Cabe ao titular da escrituração verificar se o aviso corresponde a um erro e se deve fazer alguma correção na ECD.</w:t>
      </w:r>
    </w:p>
    <w:p w:rsidR="007B0AF8" w:rsidRDefault="007B0AF8" w:rsidP="007B0AF8">
      <w:pPr>
        <w:ind w:firstLine="708"/>
        <w:jc w:val="both"/>
        <w:rPr>
          <w:rFonts w:cs="Times New Roman"/>
          <w:szCs w:val="20"/>
        </w:rPr>
      </w:pPr>
    </w:p>
    <w:p w:rsidR="007B0AF8" w:rsidRPr="007B0AF8" w:rsidRDefault="007B0AF8" w:rsidP="007B0AF8">
      <w:pPr>
        <w:shd w:val="clear" w:color="auto" w:fill="FFFFFF"/>
        <w:spacing w:after="0" w:line="315" w:lineRule="atLeast"/>
        <w:jc w:val="both"/>
        <w:textAlignment w:val="baseline"/>
        <w:rPr>
          <w:rFonts w:ascii="inherit" w:eastAsia="Times New Roman" w:hAnsi="inherit" w:cs="Tahoma"/>
          <w:color w:val="444444"/>
          <w:sz w:val="21"/>
          <w:szCs w:val="21"/>
          <w:highlight w:val="green"/>
          <w:lang w:eastAsia="pt-BR"/>
        </w:rPr>
      </w:pPr>
      <w:r w:rsidRPr="00CC69CC">
        <w:rPr>
          <w:rFonts w:ascii="inherit" w:eastAsia="Times New Roman" w:hAnsi="inherit" w:cs="Tahoma"/>
          <w:color w:val="444444"/>
          <w:sz w:val="21"/>
          <w:szCs w:val="21"/>
          <w:highlight w:val="cyan"/>
          <w:lang w:eastAsia="pt-BR"/>
        </w:rPr>
        <w:t>Ainda que a</w:t>
      </w:r>
      <w:r w:rsidRPr="00507D21">
        <w:rPr>
          <w:rFonts w:ascii="inherit" w:eastAsia="Times New Roman" w:hAnsi="inherit" w:cs="Tahoma"/>
          <w:color w:val="444444"/>
          <w:sz w:val="21"/>
          <w:szCs w:val="21"/>
          <w:highlight w:val="cyan"/>
          <w:lang w:eastAsia="pt-BR"/>
        </w:rPr>
        <w:t> </w:t>
      </w:r>
      <w:hyperlink r:id="rId5" w:history="1">
        <w:r w:rsidRPr="00507D21">
          <w:rPr>
            <w:rFonts w:ascii="inherit" w:eastAsia="Times New Roman" w:hAnsi="inherit" w:cs="Tahoma"/>
            <w:color w:val="01A0DB"/>
            <w:sz w:val="21"/>
            <w:szCs w:val="21"/>
            <w:highlight w:val="cyan"/>
            <w:bdr w:val="none" w:sz="0" w:space="0" w:color="auto" w:frame="1"/>
            <w:lang w:eastAsia="pt-BR"/>
          </w:rPr>
          <w:t>apuração do IRPJ</w:t>
        </w:r>
      </w:hyperlink>
      <w:r w:rsidRPr="00507D21">
        <w:rPr>
          <w:rFonts w:ascii="inherit" w:eastAsia="Times New Roman" w:hAnsi="inherit" w:cs="Tahoma"/>
          <w:color w:val="444444"/>
          <w:sz w:val="21"/>
          <w:szCs w:val="21"/>
          <w:highlight w:val="cyan"/>
          <w:lang w:eastAsia="pt-BR"/>
        </w:rPr>
        <w:t> </w:t>
      </w:r>
      <w:r w:rsidRPr="00CC69CC">
        <w:rPr>
          <w:rFonts w:ascii="inherit" w:eastAsia="Times New Roman" w:hAnsi="inherit" w:cs="Tahoma"/>
          <w:color w:val="444444"/>
          <w:sz w:val="21"/>
          <w:szCs w:val="21"/>
          <w:highlight w:val="cyan"/>
          <w:lang w:eastAsia="pt-BR"/>
        </w:rPr>
        <w:t xml:space="preserve">seja trimestral, o livro pode ser anual. A legislação do IRPJ obriga a elaboração e transcrição das demonstrações na data do fato gerador do tributo. </w:t>
      </w:r>
      <w:r w:rsidRPr="007B0AF8">
        <w:rPr>
          <w:rFonts w:ascii="inherit" w:eastAsia="Times New Roman" w:hAnsi="inherit" w:cs="Tahoma"/>
          <w:color w:val="444444"/>
          <w:sz w:val="21"/>
          <w:szCs w:val="21"/>
          <w:highlight w:val="green"/>
          <w:lang w:eastAsia="pt-BR"/>
        </w:rPr>
        <w:t>Nada impede que, no mesmo livro, existam quatro conjuntos de demonstrações trimestrais e a anual.</w:t>
      </w:r>
    </w:p>
    <w:p w:rsidR="007B0AF8" w:rsidRPr="00CC69CC" w:rsidRDefault="007B0AF8" w:rsidP="007B0AF8">
      <w:pPr>
        <w:shd w:val="clear" w:color="auto" w:fill="FFFFFF"/>
        <w:spacing w:after="360" w:line="315" w:lineRule="atLeast"/>
        <w:jc w:val="both"/>
        <w:textAlignment w:val="baseline"/>
        <w:rPr>
          <w:rFonts w:ascii="inherit" w:eastAsia="Times New Roman" w:hAnsi="inherit" w:cs="Tahoma"/>
          <w:color w:val="444444"/>
          <w:sz w:val="21"/>
          <w:szCs w:val="21"/>
          <w:lang w:eastAsia="pt-BR"/>
        </w:rPr>
      </w:pPr>
      <w:r w:rsidRPr="00CC69CC">
        <w:rPr>
          <w:rFonts w:ascii="inherit" w:eastAsia="Times New Roman" w:hAnsi="inherit" w:cs="Tahoma"/>
          <w:color w:val="444444"/>
          <w:sz w:val="21"/>
          <w:szCs w:val="21"/>
          <w:highlight w:val="cyan"/>
          <w:lang w:eastAsia="pt-BR"/>
        </w:rPr>
        <w:t>O período da escrituração pode ser fracionado para que cada contabilista assine o período pelo qual é responsável técnico.</w:t>
      </w:r>
    </w:p>
    <w:p w:rsidR="007B0AF8" w:rsidRPr="007B0AF8" w:rsidRDefault="007B0AF8" w:rsidP="007B0AF8">
      <w:pPr>
        <w:ind w:firstLine="708"/>
        <w:jc w:val="both"/>
        <w:rPr>
          <w:rFonts w:cs="Times New Roman"/>
          <w:szCs w:val="20"/>
        </w:rPr>
      </w:pPr>
    </w:p>
    <w:p w:rsidR="007B0AF8" w:rsidRPr="007B0AF8" w:rsidRDefault="007B0AF8" w:rsidP="007B0AF8"/>
    <w:sectPr w:rsidR="007B0AF8" w:rsidRPr="007B0A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8"/>
    <w:rsid w:val="0007417E"/>
    <w:rsid w:val="007B0AF8"/>
    <w:rsid w:val="00FF4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rtaltributario.com.br/tributos/irpj.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Giovano</cp:lastModifiedBy>
  <cp:revision>2</cp:revision>
  <dcterms:created xsi:type="dcterms:W3CDTF">2015-06-12T21:05:00Z</dcterms:created>
  <dcterms:modified xsi:type="dcterms:W3CDTF">2015-06-12T21:05:00Z</dcterms:modified>
</cp:coreProperties>
</file>